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6"/>
        </w:rPr>
      </w:pPr>
    </w:p>
    <w:p>
      <w:pPr>
        <w:pStyle w:val="BodyText"/>
        <w:rPr>
          <w:sz w:val="26"/>
        </w:rPr>
      </w:pPr>
    </w:p>
    <w:p>
      <w:pPr>
        <w:pStyle w:val="BodyText"/>
        <w:spacing w:before="198"/>
        <w:ind w:left="1869" w:right="9"/>
        <w:jc w:val="center"/>
      </w:pPr>
      <w:r>
        <w:rPr/>
        <w:t>GUIDEFORM NOTICE OF NONDISPLACEMENT TO RESIDENTIAL</w:t>
      </w:r>
      <w:r>
        <w:rPr>
          <w:spacing w:val="-4"/>
        </w:rPr>
        <w:t> </w:t>
      </w:r>
      <w:r>
        <w:rPr/>
        <w:t>TENANT</w:t>
      </w:r>
    </w:p>
    <w:p>
      <w:pPr>
        <w:pStyle w:val="BodyText"/>
        <w:spacing w:before="2"/>
      </w:pPr>
    </w:p>
    <w:p>
      <w:pPr>
        <w:spacing w:before="0"/>
        <w:ind w:left="1868" w:right="9" w:firstLine="0"/>
        <w:jc w:val="center"/>
        <w:rPr>
          <w:i/>
          <w:sz w:val="24"/>
        </w:rPr>
      </w:pPr>
      <w:r>
        <w:rPr>
          <w:i/>
          <w:sz w:val="24"/>
        </w:rPr>
        <w:t>Grantee or Agency</w:t>
      </w:r>
      <w:r>
        <w:rPr>
          <w:i/>
          <w:spacing w:val="-4"/>
          <w:sz w:val="24"/>
        </w:rPr>
        <w:t> </w:t>
      </w:r>
      <w:r>
        <w:rPr>
          <w:i/>
          <w:sz w:val="24"/>
        </w:rPr>
        <w:t>Letterhead</w:t>
      </w:r>
    </w:p>
    <w:p>
      <w:pPr>
        <w:pStyle w:val="BodyText"/>
        <w:spacing w:before="76"/>
        <w:ind w:left="434"/>
      </w:pPr>
      <w:r>
        <w:rPr/>
        <w:br w:type="column"/>
      </w:r>
      <w:r>
        <w:rPr/>
        <w:t>1378</w:t>
      </w:r>
      <w:r>
        <w:rPr>
          <w:spacing w:val="-7"/>
        </w:rPr>
        <w:t> </w:t>
      </w:r>
      <w:r>
        <w:rPr/>
        <w:t>CHG-6</w:t>
      </w:r>
    </w:p>
    <w:p>
      <w:pPr>
        <w:pStyle w:val="BodyText"/>
        <w:ind w:left="554"/>
      </w:pPr>
      <w:r>
        <w:rPr/>
        <w:t>Appendix</w:t>
      </w:r>
      <w:r>
        <w:rPr>
          <w:spacing w:val="-1"/>
        </w:rPr>
        <w:t> </w:t>
      </w:r>
      <w:r>
        <w:rPr/>
        <w:t>4</w:t>
      </w:r>
    </w:p>
    <w:p>
      <w:pPr>
        <w:spacing w:after="0"/>
        <w:sectPr>
          <w:type w:val="continuous"/>
          <w:pgSz w:w="12240" w:h="15840"/>
          <w:pgMar w:top="640" w:bottom="280" w:left="1660" w:right="1680"/>
          <w:cols w:num="2" w:equalWidth="0">
            <w:col w:w="7060" w:space="40"/>
            <w:col w:w="1800"/>
          </w:cols>
        </w:sectPr>
      </w:pPr>
    </w:p>
    <w:p>
      <w:pPr>
        <w:pStyle w:val="BodyText"/>
        <w:spacing w:before="2"/>
        <w:rPr>
          <w:sz w:val="16"/>
        </w:rPr>
      </w:pPr>
    </w:p>
    <w:p>
      <w:pPr>
        <w:spacing w:before="90"/>
        <w:ind w:left="139" w:right="0" w:firstLine="0"/>
        <w:jc w:val="left"/>
        <w:rPr>
          <w:i/>
          <w:sz w:val="24"/>
        </w:rPr>
      </w:pPr>
      <w:r>
        <w:rPr>
          <w:i/>
          <w:sz w:val="24"/>
        </w:rPr>
        <w:t>(date)</w:t>
      </w:r>
    </w:p>
    <w:p>
      <w:pPr>
        <w:pStyle w:val="BodyText"/>
        <w:spacing w:before="10"/>
        <w:rPr>
          <w:i/>
          <w:sz w:val="23"/>
        </w:rPr>
      </w:pPr>
    </w:p>
    <w:p>
      <w:pPr>
        <w:pStyle w:val="BodyText"/>
        <w:tabs>
          <w:tab w:pos="2947" w:val="left" w:leader="none"/>
        </w:tabs>
        <w:ind w:left="139"/>
      </w:pPr>
      <w:r>
        <w:rPr/>
        <w:t>Dear</w:t>
      </w:r>
      <w:r>
        <w:rPr>
          <w:u w:val="single"/>
        </w:rPr>
        <w:t> </w:t>
        <w:tab/>
      </w:r>
      <w:r>
        <w:rPr/>
        <w:t>:</w:t>
      </w:r>
    </w:p>
    <w:p>
      <w:pPr>
        <w:pStyle w:val="BodyText"/>
        <w:spacing w:before="2"/>
        <w:rPr>
          <w:sz w:val="16"/>
        </w:rPr>
      </w:pPr>
    </w:p>
    <w:p>
      <w:pPr>
        <w:pStyle w:val="BodyText"/>
        <w:tabs>
          <w:tab w:pos="1572" w:val="left" w:leader="none"/>
          <w:tab w:pos="2373" w:val="left" w:leader="none"/>
          <w:tab w:pos="3445" w:val="left" w:leader="none"/>
        </w:tabs>
        <w:spacing w:before="90"/>
        <w:ind w:left="859"/>
      </w:pPr>
      <w:r>
        <w:rPr/>
        <w:pict>
          <v:group style="position:absolute;margin-left:143.639999pt;margin-top:17.023611pt;width:64.05pt;height:1.3pt;mso-position-horizontal-relative:page;mso-position-vertical-relative:paragraph;z-index:251658240" coordorigin="2873,340" coordsize="1281,26">
            <v:line style="position:absolute" from="2873,361" to="3233,361" stroked="true" strokeweight=".48pt" strokecolor="#000000">
              <v:stroke dashstyle="solid"/>
            </v:line>
            <v:line style="position:absolute" from="2873,346" to="4153,346" stroked="true" strokeweight=".599980pt" strokecolor="#000000">
              <v:stroke dashstyle="solid"/>
            </v:line>
            <w10:wrap type="none"/>
          </v:group>
        </w:pict>
      </w:r>
      <w:r>
        <w:rPr/>
        <w:t>On</w:t>
        <w:tab/>
        <w:t>(date)</w:t>
        <w:tab/>
        <w:t>_,</w:t>
      </w:r>
      <w:r>
        <w:rPr>
          <w:spacing w:val="-1"/>
        </w:rPr>
        <w:t> </w:t>
      </w:r>
      <w:r>
        <w:rPr/>
        <w:t>the</w:t>
      </w:r>
      <w:r>
        <w:rPr>
          <w:u w:val="single"/>
        </w:rPr>
        <w:t> </w:t>
        <w:tab/>
        <w:t>(City, County, State, Public Housing Authority</w:t>
      </w:r>
      <w:r>
        <w:rPr>
          <w:spacing w:val="-17"/>
          <w:u w:val="single"/>
        </w:rPr>
        <w:t> </w:t>
      </w:r>
      <w:r>
        <w:rPr>
          <w:u w:val="single"/>
        </w:rPr>
        <w:t>(PHA),</w:t>
      </w:r>
    </w:p>
    <w:p>
      <w:pPr>
        <w:pStyle w:val="BodyText"/>
        <w:tabs>
          <w:tab w:pos="792" w:val="left" w:leader="none"/>
          <w:tab w:pos="1014" w:val="left" w:leader="none"/>
          <w:tab w:pos="2512" w:val="left" w:leader="none"/>
        </w:tabs>
        <w:ind w:left="140" w:right="117"/>
      </w:pPr>
      <w:r>
        <w:rPr>
          <w:u w:val="single"/>
        </w:rPr>
        <w:t>other)</w:t>
        <w:tab/>
        <w:tab/>
        <w:t>,</w:t>
      </w:r>
      <w:r>
        <w:rPr/>
        <w:t> notified you of proposed plans to rehabilitate the property you currently occupy at</w:t>
      </w:r>
      <w:r>
        <w:rPr>
          <w:u w:val="thick"/>
        </w:rPr>
        <w:t> </w:t>
        <w:tab/>
        <w:t>(address)</w:t>
        <w:tab/>
      </w:r>
      <w:r>
        <w:rPr/>
        <w:t>for a project which could receive funding assistance from</w:t>
      </w:r>
      <w:r>
        <w:rPr>
          <w:spacing w:val="-4"/>
        </w:rPr>
        <w:t> </w:t>
      </w:r>
      <w:r>
        <w:rPr/>
        <w:t>the</w:t>
      </w:r>
    </w:p>
    <w:p>
      <w:pPr>
        <w:pStyle w:val="BodyText"/>
        <w:ind w:left="140"/>
      </w:pPr>
      <w:r>
        <w:rPr/>
        <w:t>U.S. Department of Housing and Urban Development (HUD) under the</w:t>
      </w:r>
    </w:p>
    <w:p>
      <w:pPr>
        <w:spacing w:after="0"/>
        <w:sectPr>
          <w:type w:val="continuous"/>
          <w:pgSz w:w="12240" w:h="15840"/>
          <w:pgMar w:top="640" w:bottom="280" w:left="1660" w:right="1680"/>
        </w:sectPr>
      </w:pPr>
    </w:p>
    <w:p>
      <w:pPr>
        <w:pStyle w:val="BodyText"/>
        <w:tabs>
          <w:tab w:pos="2899" w:val="left" w:leader="none"/>
        </w:tabs>
        <w:ind w:left="140"/>
      </w:pPr>
      <w:r>
        <w:rPr>
          <w:u w:val="single"/>
        </w:rPr>
        <w:t> </w:t>
        <w:tab/>
      </w:r>
      <w:r>
        <w:rPr/>
        <w:t> program.</w:t>
      </w:r>
      <w:r>
        <w:rPr>
          <w:spacing w:val="52"/>
        </w:rPr>
        <w:t> </w:t>
      </w:r>
      <w:r>
        <w:rPr/>
        <w:t>On</w:t>
      </w:r>
    </w:p>
    <w:p>
      <w:pPr>
        <w:pStyle w:val="BodyText"/>
        <w:ind w:left="140"/>
      </w:pPr>
      <w:r>
        <w:rPr/>
        <w:br w:type="column"/>
      </w:r>
      <w:r>
        <w:rPr/>
        <w:t>(date)</w:t>
      </w:r>
    </w:p>
    <w:p>
      <w:pPr>
        <w:pStyle w:val="BodyText"/>
        <w:ind w:left="140"/>
      </w:pPr>
      <w:r>
        <w:rPr/>
        <w:br w:type="column"/>
      </w:r>
      <w:r>
        <w:rPr/>
        <w:t>, the project was approved</w:t>
      </w:r>
    </w:p>
    <w:p>
      <w:pPr>
        <w:spacing w:after="0"/>
        <w:sectPr>
          <w:type w:val="continuous"/>
          <w:pgSz w:w="12240" w:h="15840"/>
          <w:pgMar w:top="640" w:bottom="280" w:left="1660" w:right="1680"/>
          <w:cols w:num="3" w:equalWidth="0">
            <w:col w:w="4286" w:space="360"/>
            <w:col w:w="741" w:space="419"/>
            <w:col w:w="3094"/>
          </w:cols>
        </w:sectPr>
      </w:pPr>
    </w:p>
    <w:p>
      <w:pPr>
        <w:pStyle w:val="BodyText"/>
        <w:ind w:left="139"/>
      </w:pPr>
      <w:r>
        <w:rPr/>
        <w:pict>
          <v:group style="position:absolute;margin-left:298.259979pt;margin-top:-1.276793pt;width:82.1pt;height:1.3pt;mso-position-horizontal-relative:page;mso-position-vertical-relative:paragraph;z-index:251659264" coordorigin="5965,-26" coordsize="1642,26">
            <v:shape style="position:absolute;left:5965;top:-5;width:1642;height:2" coordorigin="5965,-5" coordsize="1642,0" path="m5965,-5l6446,-5m7006,-5l7607,-5e" filled="false" stroked="true" strokeweight=".48pt" strokecolor="#000000">
              <v:path arrowok="t"/>
              <v:stroke dashstyle="solid"/>
            </v:shape>
            <v:line style="position:absolute" from="5965,-20" to="7606,-20" stroked="true" strokeweight=".60004pt" strokecolor="#000000">
              <v:stroke dashstyle="solid"/>
            </v:line>
            <w10:wrap type="none"/>
          </v:group>
        </w:pict>
      </w:r>
      <w:r>
        <w:rPr/>
        <w:t>and will receive federal funding. Repairs will begin soon.</w:t>
      </w:r>
    </w:p>
    <w:p>
      <w:pPr>
        <w:pStyle w:val="BodyText"/>
        <w:spacing w:before="1"/>
      </w:pPr>
    </w:p>
    <w:p>
      <w:pPr>
        <w:pStyle w:val="ListParagraph"/>
        <w:numPr>
          <w:ilvl w:val="1"/>
          <w:numId w:val="1"/>
        </w:numPr>
        <w:tabs>
          <w:tab w:pos="1579" w:val="left" w:leader="none"/>
          <w:tab w:pos="1580" w:val="left" w:leader="none"/>
        </w:tabs>
        <w:spacing w:line="240" w:lineRule="auto" w:before="0" w:after="0"/>
        <w:ind w:left="1579" w:right="358" w:hanging="360"/>
        <w:jc w:val="left"/>
        <w:rPr>
          <w:sz w:val="24"/>
        </w:rPr>
      </w:pPr>
      <w:r>
        <w:rPr>
          <w:b/>
          <w:sz w:val="24"/>
        </w:rPr>
        <w:t>This is a notice of nondisplacement</w:t>
      </w:r>
      <w:r>
        <w:rPr>
          <w:sz w:val="24"/>
        </w:rPr>
        <w:t>. You will not be required to </w:t>
      </w:r>
      <w:r>
        <w:rPr>
          <w:spacing w:val="-5"/>
          <w:sz w:val="24"/>
        </w:rPr>
        <w:t>move </w:t>
      </w:r>
      <w:r>
        <w:rPr>
          <w:sz w:val="24"/>
        </w:rPr>
        <w:t>permanently as result of the</w:t>
      </w:r>
      <w:r>
        <w:rPr>
          <w:spacing w:val="-1"/>
          <w:sz w:val="24"/>
        </w:rPr>
        <w:t> </w:t>
      </w:r>
      <w:r>
        <w:rPr>
          <w:sz w:val="24"/>
        </w:rPr>
        <w:t>rehabilitation.</w:t>
      </w:r>
    </w:p>
    <w:p>
      <w:pPr>
        <w:pStyle w:val="BodyText"/>
        <w:spacing w:before="9"/>
        <w:rPr>
          <w:sz w:val="23"/>
        </w:rPr>
      </w:pPr>
    </w:p>
    <w:p>
      <w:pPr>
        <w:pStyle w:val="BodyText"/>
        <w:spacing w:before="1"/>
        <w:ind w:left="139"/>
      </w:pPr>
      <w:r>
        <w:rPr/>
        <w:t>This notice guarantees you the following:</w:t>
      </w:r>
    </w:p>
    <w:p>
      <w:pPr>
        <w:pStyle w:val="BodyText"/>
      </w:pPr>
    </w:p>
    <w:p>
      <w:pPr>
        <w:pStyle w:val="ListParagraph"/>
        <w:numPr>
          <w:ilvl w:val="0"/>
          <w:numId w:val="2"/>
        </w:numPr>
        <w:tabs>
          <w:tab w:pos="860" w:val="left" w:leader="none"/>
        </w:tabs>
        <w:spacing w:line="240" w:lineRule="auto" w:before="0" w:after="0"/>
        <w:ind w:left="859" w:right="305" w:hanging="360"/>
        <w:jc w:val="left"/>
        <w:rPr>
          <w:sz w:val="24"/>
        </w:rPr>
      </w:pPr>
      <w:r>
        <w:rPr>
          <w:sz w:val="24"/>
        </w:rPr>
        <w:t>Upon completion of the rehabilitation, you will be able to lease and occupy your present apartment or another suitable, decent, safe and sanitary apartment in the same building/complex under reasonable terms and conditions.</w:t>
      </w:r>
      <w:r>
        <w:rPr>
          <w:spacing w:val="-2"/>
          <w:sz w:val="24"/>
        </w:rPr>
        <w:t> </w:t>
      </w:r>
      <w:r>
        <w:rPr>
          <w:sz w:val="24"/>
        </w:rPr>
        <w:t>*</w:t>
      </w:r>
    </w:p>
    <w:p>
      <w:pPr>
        <w:pStyle w:val="BodyText"/>
      </w:pPr>
    </w:p>
    <w:p>
      <w:pPr>
        <w:pStyle w:val="ListParagraph"/>
        <w:numPr>
          <w:ilvl w:val="0"/>
          <w:numId w:val="2"/>
        </w:numPr>
        <w:tabs>
          <w:tab w:pos="860" w:val="left" w:leader="none"/>
        </w:tabs>
        <w:spacing w:line="240" w:lineRule="auto" w:before="0" w:after="0"/>
        <w:ind w:left="859" w:right="118" w:hanging="360"/>
        <w:jc w:val="left"/>
        <w:rPr>
          <w:sz w:val="24"/>
        </w:rPr>
      </w:pPr>
      <w:r>
        <w:rPr>
          <w:sz w:val="24"/>
        </w:rPr>
        <w:t>If you must move temporarily so that the rehabilitation can be completed, you will be reimbursed for all of your extra expenses, including the cost of moving to and from temporary housing and any increased interim housing costs. The temporary unit will be decent, safe and sanitary, and all other conditions of the temporary move will be</w:t>
      </w:r>
      <w:r>
        <w:rPr>
          <w:spacing w:val="-1"/>
          <w:sz w:val="24"/>
        </w:rPr>
        <w:t> </w:t>
      </w:r>
      <w:r>
        <w:rPr>
          <w:sz w:val="24"/>
        </w:rPr>
        <w:t>reasonable.</w:t>
      </w:r>
    </w:p>
    <w:p>
      <w:pPr>
        <w:pStyle w:val="BodyText"/>
      </w:pPr>
    </w:p>
    <w:p>
      <w:pPr>
        <w:pStyle w:val="BodyText"/>
        <w:ind w:left="499" w:right="186"/>
        <w:jc w:val="both"/>
      </w:pPr>
      <w:r>
        <w:rPr/>
        <w:t>Since you will have the opportunity to occupy a newly rehabilitated apartment, I urge you </w:t>
      </w:r>
      <w:r>
        <w:rPr>
          <w:u w:val="single"/>
        </w:rPr>
        <w:t>not to move</w:t>
      </w:r>
      <w:r>
        <w:rPr/>
        <w:t>. (If you do elect to move for your own reasons, you will not receive any relocation assistance.) We will make every effort to accommodate your needs.</w:t>
      </w:r>
    </w:p>
    <w:p>
      <w:pPr>
        <w:pStyle w:val="BodyText"/>
        <w:ind w:left="500" w:right="222"/>
      </w:pPr>
      <w:r>
        <w:rPr/>
        <w:t>Because federal funding is involved in this project, you are protected by the Uniform Relocation Assistance and Real Property Acquisition Policies Act of 1970, as amended. Of course, you must continue to comply with the terms and conditions of your lease.</w:t>
      </w:r>
    </w:p>
    <w:p>
      <w:pPr>
        <w:pStyle w:val="BodyText"/>
      </w:pPr>
    </w:p>
    <w:p>
      <w:pPr>
        <w:tabs>
          <w:tab w:pos="4858" w:val="left" w:leader="none"/>
          <w:tab w:pos="5836" w:val="left" w:leader="none"/>
          <w:tab w:pos="6670" w:val="left" w:leader="none"/>
          <w:tab w:pos="7776" w:val="left" w:leader="none"/>
        </w:tabs>
        <w:spacing w:before="0"/>
        <w:ind w:left="500" w:right="0" w:firstLine="0"/>
        <w:jc w:val="left"/>
        <w:rPr>
          <w:sz w:val="24"/>
        </w:rPr>
      </w:pPr>
      <w:r>
        <w:rPr>
          <w:sz w:val="24"/>
        </w:rPr>
        <w:t>If you have any questions,</w:t>
      </w:r>
      <w:r>
        <w:rPr>
          <w:spacing w:val="-6"/>
          <w:sz w:val="24"/>
        </w:rPr>
        <w:t> </w:t>
      </w:r>
      <w:r>
        <w:rPr>
          <w:sz w:val="24"/>
        </w:rPr>
        <w:t>please</w:t>
      </w:r>
      <w:r>
        <w:rPr>
          <w:spacing w:val="-1"/>
          <w:sz w:val="24"/>
        </w:rPr>
        <w:t> </w:t>
      </w:r>
      <w:r>
        <w:rPr>
          <w:sz w:val="24"/>
        </w:rPr>
        <w:t>contact</w:t>
      </w:r>
      <w:r>
        <w:rPr>
          <w:sz w:val="24"/>
          <w:u w:val="single"/>
        </w:rPr>
        <w:t> </w:t>
        <w:tab/>
      </w:r>
      <w:r>
        <w:rPr>
          <w:i/>
          <w:sz w:val="24"/>
          <w:u w:val="single"/>
        </w:rPr>
        <w:t>(name)</w:t>
        <w:tab/>
      </w:r>
      <w:r>
        <w:rPr>
          <w:sz w:val="24"/>
          <w:u w:val="single"/>
        </w:rPr>
        <w:t>,</w:t>
      </w:r>
      <w:r>
        <w:rPr>
          <w:sz w:val="24"/>
        </w:rPr>
        <w:t>  at</w:t>
      </w:r>
      <w:r>
        <w:rPr>
          <w:sz w:val="24"/>
          <w:u w:val="single"/>
        </w:rPr>
        <w:t> </w:t>
        <w:tab/>
      </w:r>
      <w:r>
        <w:rPr>
          <w:i/>
          <w:sz w:val="24"/>
          <w:u w:val="single"/>
        </w:rPr>
        <w:t>(phone)</w:t>
        <w:tab/>
      </w:r>
      <w:r>
        <w:rPr>
          <w:sz w:val="24"/>
        </w:rPr>
        <w:t>,</w:t>
      </w:r>
    </w:p>
    <w:p>
      <w:pPr>
        <w:pStyle w:val="BodyText"/>
        <w:tabs>
          <w:tab w:pos="1639" w:val="left" w:leader="none"/>
          <w:tab w:pos="4165" w:val="left" w:leader="none"/>
        </w:tabs>
        <w:ind w:left="139" w:right="299"/>
      </w:pPr>
      <w:r>
        <w:rPr>
          <w:i/>
          <w:u w:val="single"/>
        </w:rPr>
        <w:t> </w:t>
        <w:tab/>
        <w:t>(address)</w:t>
        <w:tab/>
      </w:r>
      <w:r>
        <w:rPr/>
        <w:t>. This letter is important to you and should be retained.</w:t>
      </w:r>
    </w:p>
    <w:p>
      <w:pPr>
        <w:pStyle w:val="BodyText"/>
      </w:pPr>
    </w:p>
    <w:p>
      <w:pPr>
        <w:pStyle w:val="BodyText"/>
        <w:spacing w:line="275" w:lineRule="exact"/>
        <w:ind w:left="4459"/>
      </w:pPr>
      <w:r>
        <w:rPr/>
        <w:t>Sincerely,</w:t>
      </w:r>
    </w:p>
    <w:p>
      <w:pPr>
        <w:tabs>
          <w:tab w:pos="4819" w:val="left" w:leader="none"/>
          <w:tab w:pos="6592" w:val="left" w:leader="none"/>
        </w:tabs>
        <w:spacing w:line="275" w:lineRule="exact" w:before="0"/>
        <w:ind w:left="4460" w:right="0" w:firstLine="0"/>
        <w:jc w:val="left"/>
        <w:rPr>
          <w:sz w:val="24"/>
        </w:rPr>
      </w:pPr>
      <w:r>
        <w:rPr>
          <w:i/>
          <w:sz w:val="24"/>
          <w:u w:val="single"/>
        </w:rPr>
        <w:t> </w:t>
        <w:tab/>
        <w:t>(name and title)</w:t>
        <w:tab/>
      </w:r>
      <w:r>
        <w:rPr>
          <w:sz w:val="24"/>
          <w:u w:val="single"/>
        </w:rPr>
        <w:t>.</w:t>
      </w:r>
    </w:p>
    <w:p>
      <w:pPr>
        <w:pStyle w:val="BodyText"/>
        <w:rPr>
          <w:sz w:val="20"/>
        </w:rPr>
      </w:pPr>
    </w:p>
    <w:p>
      <w:pPr>
        <w:pStyle w:val="BodyText"/>
        <w:rPr>
          <w:sz w:val="20"/>
        </w:rPr>
      </w:pPr>
    </w:p>
    <w:p>
      <w:pPr>
        <w:pStyle w:val="BodyText"/>
        <w:rPr>
          <w:sz w:val="20"/>
        </w:rPr>
      </w:pPr>
    </w:p>
    <w:p>
      <w:pPr>
        <w:pStyle w:val="BodyText"/>
        <w:spacing w:before="5"/>
        <w:rPr>
          <w:sz w:val="16"/>
        </w:rPr>
      </w:pPr>
    </w:p>
    <w:p>
      <w:pPr>
        <w:pStyle w:val="BodyText"/>
        <w:tabs>
          <w:tab w:pos="8074" w:val="left" w:leader="none"/>
        </w:tabs>
        <w:spacing w:before="90"/>
        <w:ind w:left="4034"/>
      </w:pPr>
      <w:r>
        <w:rPr/>
        <w:t>App.</w:t>
      </w:r>
      <w:r>
        <w:rPr>
          <w:spacing w:val="-1"/>
        </w:rPr>
        <w:t> </w:t>
      </w:r>
      <w:r>
        <w:rPr/>
        <w:t>4-1</w:t>
        <w:tab/>
        <w:t>[10/06]</w:t>
      </w:r>
    </w:p>
    <w:p>
      <w:pPr>
        <w:spacing w:after="0"/>
        <w:sectPr>
          <w:type w:val="continuous"/>
          <w:pgSz w:w="12240" w:h="15840"/>
          <w:pgMar w:top="640" w:bottom="280" w:left="1660" w:right="1680"/>
        </w:sectPr>
      </w:pPr>
    </w:p>
    <w:p>
      <w:pPr>
        <w:pStyle w:val="BodyText"/>
        <w:spacing w:before="76"/>
        <w:ind w:left="140"/>
      </w:pPr>
      <w:r>
        <w:rPr/>
        <w:t>1378 CHG-6</w:t>
      </w:r>
    </w:p>
    <w:p>
      <w:pPr>
        <w:pStyle w:val="BodyText"/>
        <w:ind w:left="140"/>
      </w:pPr>
      <w:r>
        <w:rPr/>
        <w:t>Appendix 4</w:t>
      </w:r>
    </w:p>
    <w:p>
      <w:pPr>
        <w:pStyle w:val="BodyText"/>
        <w:rPr>
          <w:sz w:val="20"/>
        </w:rPr>
      </w:pPr>
    </w:p>
    <w:p>
      <w:pPr>
        <w:pStyle w:val="BodyText"/>
        <w:spacing w:before="3"/>
        <w:rPr>
          <w:sz w:val="17"/>
        </w:rPr>
      </w:pPr>
      <w:r>
        <w:rPr/>
        <w:pict>
          <v:shape style="position:absolute;margin-left:88.5pt;margin-top:12.67333pt;width:435pt;height:.1pt;mso-position-horizontal-relative:page;mso-position-vertical-relative:paragraph;z-index:-251656192;mso-wrap-distance-left:0;mso-wrap-distance-right:0" coordorigin="1770,253" coordsize="8700,0" path="m1770,253l10470,253e" filled="false" stroked="true" strokeweight="1.5pt" strokecolor="#000000">
            <v:path arrowok="t"/>
            <v:stroke dashstyle="solid"/>
            <w10:wrap type="topAndBottom"/>
          </v:shape>
        </w:pict>
      </w:r>
    </w:p>
    <w:p>
      <w:pPr>
        <w:pStyle w:val="BodyText"/>
        <w:spacing w:line="244" w:lineRule="exact"/>
        <w:ind w:left="140"/>
      </w:pPr>
      <w:r>
        <w:rPr>
          <w:u w:val="single"/>
        </w:rPr>
        <w:t>NOTES</w:t>
      </w:r>
      <w:r>
        <w:rPr/>
        <w:t>.</w:t>
      </w:r>
    </w:p>
    <w:p>
      <w:pPr>
        <w:pStyle w:val="BodyText"/>
      </w:pPr>
    </w:p>
    <w:p>
      <w:pPr>
        <w:pStyle w:val="ListParagraph"/>
        <w:numPr>
          <w:ilvl w:val="0"/>
          <w:numId w:val="3"/>
        </w:numPr>
        <w:tabs>
          <w:tab w:pos="860" w:val="left" w:leader="none"/>
          <w:tab w:pos="861" w:val="left" w:leader="none"/>
        </w:tabs>
        <w:spacing w:line="240" w:lineRule="auto" w:before="0" w:after="0"/>
        <w:ind w:left="860" w:right="454" w:hanging="720"/>
        <w:jc w:val="left"/>
        <w:rPr>
          <w:sz w:val="24"/>
        </w:rPr>
      </w:pPr>
      <w:r>
        <w:rPr>
          <w:sz w:val="24"/>
        </w:rPr>
        <w:t>The case file must indicate the manner in which this notice was delivered</w:t>
      </w:r>
      <w:r>
        <w:rPr>
          <w:spacing w:val="-28"/>
          <w:sz w:val="24"/>
        </w:rPr>
        <w:t> </w:t>
      </w:r>
      <w:r>
        <w:rPr>
          <w:sz w:val="24"/>
        </w:rPr>
        <w:t>(e.g., personally served or certified mail, return receipt requested) and the date of delivery. (See Paragraph 2-3 I of Handbook</w:t>
      </w:r>
      <w:r>
        <w:rPr>
          <w:spacing w:val="-1"/>
          <w:sz w:val="24"/>
        </w:rPr>
        <w:t> </w:t>
      </w:r>
      <w:r>
        <w:rPr>
          <w:sz w:val="24"/>
        </w:rPr>
        <w:t>1378.)</w:t>
      </w:r>
    </w:p>
    <w:p>
      <w:pPr>
        <w:pStyle w:val="ListParagraph"/>
        <w:numPr>
          <w:ilvl w:val="0"/>
          <w:numId w:val="3"/>
        </w:numPr>
        <w:tabs>
          <w:tab w:pos="859" w:val="left" w:leader="none"/>
          <w:tab w:pos="860" w:val="left" w:leader="none"/>
        </w:tabs>
        <w:spacing w:line="240" w:lineRule="auto" w:before="0" w:after="0"/>
        <w:ind w:left="860" w:right="0" w:hanging="720"/>
        <w:jc w:val="left"/>
        <w:rPr>
          <w:sz w:val="24"/>
        </w:rPr>
      </w:pPr>
      <w:r>
        <w:rPr>
          <w:sz w:val="24"/>
        </w:rPr>
        <w:t>This is a guideform. It should be revised to reflect the</w:t>
      </w:r>
      <w:r>
        <w:rPr>
          <w:spacing w:val="-7"/>
          <w:sz w:val="24"/>
        </w:rPr>
        <w:t> </w:t>
      </w:r>
      <w:r>
        <w:rPr>
          <w:sz w:val="24"/>
        </w:rPr>
        <w:t>circumstances.</w:t>
      </w:r>
    </w:p>
    <w:p>
      <w:pPr>
        <w:pStyle w:val="BodyText"/>
        <w:spacing w:before="1"/>
      </w:pPr>
    </w:p>
    <w:p>
      <w:pPr>
        <w:tabs>
          <w:tab w:pos="859" w:val="left" w:leader="none"/>
        </w:tabs>
        <w:spacing w:before="0"/>
        <w:ind w:left="860" w:right="338" w:hanging="720"/>
        <w:jc w:val="left"/>
        <w:rPr>
          <w:i/>
          <w:sz w:val="24"/>
        </w:rPr>
      </w:pPr>
      <w:r>
        <w:rPr>
          <w:i/>
          <w:sz w:val="24"/>
        </w:rPr>
        <w:t>*</w:t>
        <w:tab/>
        <w:t>Based on the applicable HUD program regulations, if “reasonable terms and </w:t>
      </w:r>
      <w:r>
        <w:rPr>
          <w:i/>
          <w:sz w:val="24"/>
        </w:rPr>
        <w:t>conditions,” are defined, one of the following statements or other language may also be required in this</w:t>
      </w:r>
      <w:r>
        <w:rPr>
          <w:i/>
          <w:spacing w:val="-5"/>
          <w:sz w:val="24"/>
        </w:rPr>
        <w:t> </w:t>
      </w:r>
      <w:r>
        <w:rPr>
          <w:i/>
          <w:sz w:val="24"/>
        </w:rPr>
        <w:t>Notice:</w:t>
      </w:r>
    </w:p>
    <w:p>
      <w:pPr>
        <w:pStyle w:val="ListParagraph"/>
        <w:numPr>
          <w:ilvl w:val="1"/>
          <w:numId w:val="3"/>
        </w:numPr>
        <w:tabs>
          <w:tab w:pos="1220" w:val="left" w:leader="none"/>
        </w:tabs>
        <w:spacing w:line="240" w:lineRule="auto" w:before="0" w:after="0"/>
        <w:ind w:left="1219" w:right="291" w:hanging="360"/>
        <w:jc w:val="left"/>
        <w:rPr>
          <w:sz w:val="24"/>
        </w:rPr>
      </w:pPr>
      <w:r>
        <w:rPr>
          <w:i/>
          <w:sz w:val="24"/>
        </w:rPr>
        <w:t>Under HOME at 24 CFR 92.353(c)(2)(C)(1): </w:t>
      </w:r>
      <w:r>
        <w:rPr>
          <w:sz w:val="24"/>
        </w:rPr>
        <w:t>“Your new lease will be for a term of not less than one year at a monthly rent will remain the same or, if increased, your new monthly rent and estimated average utility costs will not exceed: 1) if you are low income, the total tenant payment as defined by HUD </w:t>
      </w:r>
      <w:r>
        <w:rPr>
          <w:i/>
          <w:sz w:val="24"/>
        </w:rPr>
        <w:t>(under 24 CFR 5.628), or (2) </w:t>
      </w:r>
      <w:r>
        <w:rPr>
          <w:sz w:val="24"/>
        </w:rPr>
        <w:t>30% of the monthly gross household income, if you are not low</w:t>
      </w:r>
      <w:r>
        <w:rPr>
          <w:spacing w:val="-7"/>
          <w:sz w:val="24"/>
        </w:rPr>
        <w:t> </w:t>
      </w:r>
      <w:r>
        <w:rPr>
          <w:sz w:val="24"/>
        </w:rPr>
        <w:t>income.”</w:t>
      </w:r>
    </w:p>
    <w:p>
      <w:pPr>
        <w:pStyle w:val="ListParagraph"/>
        <w:numPr>
          <w:ilvl w:val="1"/>
          <w:numId w:val="3"/>
        </w:numPr>
        <w:tabs>
          <w:tab w:pos="1220" w:val="left" w:leader="none"/>
        </w:tabs>
        <w:spacing w:line="240" w:lineRule="auto" w:before="0" w:after="0"/>
        <w:ind w:left="1219" w:right="173" w:hanging="360"/>
        <w:jc w:val="left"/>
        <w:rPr>
          <w:sz w:val="24"/>
        </w:rPr>
      </w:pPr>
      <w:r>
        <w:rPr>
          <w:i/>
          <w:sz w:val="24"/>
        </w:rPr>
        <w:t>Under CDBG at 24 CFR 570.606(b)(2)(D)(1): </w:t>
      </w:r>
      <w:r>
        <w:rPr>
          <w:sz w:val="24"/>
        </w:rPr>
        <w:t>“Your monthly rent will remain the same or, if increased, your new rent and estimated average utility costs will not exceed 30% of the household’s average monthly gross</w:t>
      </w:r>
      <w:r>
        <w:rPr>
          <w:spacing w:val="-17"/>
          <w:sz w:val="24"/>
        </w:rPr>
        <w:t> </w:t>
      </w:r>
      <w:r>
        <w:rPr>
          <w:sz w:val="24"/>
        </w:rPr>
        <w:t>income.”</w:t>
      </w:r>
    </w:p>
    <w:p>
      <w:pPr>
        <w:pStyle w:val="ListParagraph"/>
        <w:numPr>
          <w:ilvl w:val="1"/>
          <w:numId w:val="3"/>
        </w:numPr>
        <w:tabs>
          <w:tab w:pos="1220" w:val="left" w:leader="none"/>
        </w:tabs>
        <w:spacing w:line="240" w:lineRule="auto" w:before="0" w:after="0"/>
        <w:ind w:left="1219" w:right="538" w:hanging="360"/>
        <w:jc w:val="left"/>
        <w:rPr>
          <w:sz w:val="24"/>
        </w:rPr>
      </w:pPr>
      <w:r>
        <w:rPr>
          <w:i/>
          <w:sz w:val="24"/>
        </w:rPr>
        <w:t>Under Section 221 Mortgage Insurance Programs at 24 CFR 221.795(i): </w:t>
      </w:r>
      <w:r>
        <w:rPr>
          <w:sz w:val="24"/>
        </w:rPr>
        <w:t>“Your monthly rent and estimated average utility costs will not exceed the amount approved by</w:t>
      </w:r>
      <w:r>
        <w:rPr>
          <w:spacing w:val="-1"/>
          <w:sz w:val="24"/>
        </w:rPr>
        <w:t> </w:t>
      </w:r>
      <w:r>
        <w:rPr>
          <w:sz w:val="24"/>
        </w:rPr>
        <w:t>HUD.”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37"/>
        </w:rPr>
      </w:pPr>
    </w:p>
    <w:p>
      <w:pPr>
        <w:pStyle w:val="BodyText"/>
        <w:tabs>
          <w:tab w:pos="4033" w:val="left" w:leader="none"/>
        </w:tabs>
        <w:ind w:left="200"/>
      </w:pPr>
      <w:r>
        <w:rPr/>
        <w:t>[10/06]</w:t>
        <w:tab/>
        <w:t>App. 4-2</w:t>
      </w:r>
    </w:p>
    <w:sectPr>
      <w:pgSz w:w="12240" w:h="15840"/>
      <w:pgMar w:top="64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60" w:hanging="721"/>
        <w:jc w:val="left"/>
      </w:pPr>
      <w:rPr>
        <w:rFonts w:hint="default" w:ascii="Times New Roman" w:hAnsi="Times New Roman" w:eastAsia="Times New Roman" w:cs="Times New Roman"/>
        <w:spacing w:val="-2"/>
        <w:w w:val="99"/>
        <w:sz w:val="24"/>
        <w:szCs w:val="24"/>
        <w:lang w:val="en-us" w:eastAsia="en-us" w:bidi="en-us"/>
      </w:rPr>
    </w:lvl>
    <w:lvl w:ilvl="1">
      <w:start w:val="1"/>
      <w:numFmt w:val="lowerLetter"/>
      <w:lvlText w:val="%2."/>
      <w:lvlJc w:val="left"/>
      <w:pPr>
        <w:ind w:left="1220" w:hanging="360"/>
        <w:jc w:val="left"/>
      </w:pPr>
      <w:rPr>
        <w:rFonts w:hint="default" w:ascii="Times New Roman" w:hAnsi="Times New Roman" w:eastAsia="Times New Roman" w:cs="Times New Roman"/>
        <w:spacing w:val="-3"/>
        <w:w w:val="99"/>
        <w:sz w:val="24"/>
        <w:szCs w:val="24"/>
        <w:lang w:val="en-us" w:eastAsia="en-us" w:bidi="en-us"/>
      </w:rPr>
    </w:lvl>
    <w:lvl w:ilvl="2">
      <w:start w:val="0"/>
      <w:numFmt w:val="bullet"/>
      <w:lvlText w:val="•"/>
      <w:lvlJc w:val="left"/>
      <w:pPr>
        <w:ind w:left="2073" w:hanging="360"/>
      </w:pPr>
      <w:rPr>
        <w:rFonts w:hint="default"/>
        <w:lang w:val="en-us" w:eastAsia="en-us" w:bidi="en-us"/>
      </w:rPr>
    </w:lvl>
    <w:lvl w:ilvl="3">
      <w:start w:val="0"/>
      <w:numFmt w:val="bullet"/>
      <w:lvlText w:val="•"/>
      <w:lvlJc w:val="left"/>
      <w:pPr>
        <w:ind w:left="2926" w:hanging="360"/>
      </w:pPr>
      <w:rPr>
        <w:rFonts w:hint="default"/>
        <w:lang w:val="en-us" w:eastAsia="en-us" w:bidi="en-us"/>
      </w:rPr>
    </w:lvl>
    <w:lvl w:ilvl="4">
      <w:start w:val="0"/>
      <w:numFmt w:val="bullet"/>
      <w:lvlText w:val="•"/>
      <w:lvlJc w:val="left"/>
      <w:pPr>
        <w:ind w:left="3780" w:hanging="360"/>
      </w:pPr>
      <w:rPr>
        <w:rFonts w:hint="default"/>
        <w:lang w:val="en-us" w:eastAsia="en-us" w:bidi="en-us"/>
      </w:rPr>
    </w:lvl>
    <w:lvl w:ilvl="5">
      <w:start w:val="0"/>
      <w:numFmt w:val="bullet"/>
      <w:lvlText w:val="•"/>
      <w:lvlJc w:val="left"/>
      <w:pPr>
        <w:ind w:left="4633" w:hanging="360"/>
      </w:pPr>
      <w:rPr>
        <w:rFonts w:hint="default"/>
        <w:lang w:val="en-us" w:eastAsia="en-us" w:bidi="en-us"/>
      </w:rPr>
    </w:lvl>
    <w:lvl w:ilvl="6">
      <w:start w:val="0"/>
      <w:numFmt w:val="bullet"/>
      <w:lvlText w:val="•"/>
      <w:lvlJc w:val="left"/>
      <w:pPr>
        <w:ind w:left="5486" w:hanging="360"/>
      </w:pPr>
      <w:rPr>
        <w:rFonts w:hint="default"/>
        <w:lang w:val="en-us" w:eastAsia="en-us" w:bidi="en-us"/>
      </w:rPr>
    </w:lvl>
    <w:lvl w:ilvl="7">
      <w:start w:val="0"/>
      <w:numFmt w:val="bullet"/>
      <w:lvlText w:val="•"/>
      <w:lvlJc w:val="left"/>
      <w:pPr>
        <w:ind w:left="6340" w:hanging="360"/>
      </w:pPr>
      <w:rPr>
        <w:rFonts w:hint="default"/>
        <w:lang w:val="en-us" w:eastAsia="en-us" w:bidi="en-us"/>
      </w:rPr>
    </w:lvl>
    <w:lvl w:ilvl="8">
      <w:start w:val="0"/>
      <w:numFmt w:val="bullet"/>
      <w:lvlText w:val="•"/>
      <w:lvlJc w:val="left"/>
      <w:pPr>
        <w:ind w:left="7193" w:hanging="360"/>
      </w:pPr>
      <w:rPr>
        <w:rFonts w:hint="default"/>
        <w:lang w:val="en-us" w:eastAsia="en-us" w:bidi="en-us"/>
      </w:rPr>
    </w:lvl>
  </w:abstractNum>
  <w:abstractNum w:abstractNumId="1">
    <w:multiLevelType w:val="hybridMultilevel"/>
    <w:lvl w:ilvl="0">
      <w:start w:val="1"/>
      <w:numFmt w:val="decimal"/>
      <w:lvlText w:val="%1."/>
      <w:lvlJc w:val="left"/>
      <w:pPr>
        <w:ind w:left="860" w:hanging="360"/>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664" w:hanging="360"/>
      </w:pPr>
      <w:rPr>
        <w:rFonts w:hint="default"/>
        <w:lang w:val="en-us" w:eastAsia="en-us" w:bidi="en-us"/>
      </w:rPr>
    </w:lvl>
    <w:lvl w:ilvl="2">
      <w:start w:val="0"/>
      <w:numFmt w:val="bullet"/>
      <w:lvlText w:val="•"/>
      <w:lvlJc w:val="left"/>
      <w:pPr>
        <w:ind w:left="2468" w:hanging="360"/>
      </w:pPr>
      <w:rPr>
        <w:rFonts w:hint="default"/>
        <w:lang w:val="en-us" w:eastAsia="en-us" w:bidi="en-us"/>
      </w:rPr>
    </w:lvl>
    <w:lvl w:ilvl="3">
      <w:start w:val="0"/>
      <w:numFmt w:val="bullet"/>
      <w:lvlText w:val="•"/>
      <w:lvlJc w:val="left"/>
      <w:pPr>
        <w:ind w:left="3272" w:hanging="360"/>
      </w:pPr>
      <w:rPr>
        <w:rFonts w:hint="default"/>
        <w:lang w:val="en-us" w:eastAsia="en-us" w:bidi="en-us"/>
      </w:rPr>
    </w:lvl>
    <w:lvl w:ilvl="4">
      <w:start w:val="0"/>
      <w:numFmt w:val="bullet"/>
      <w:lvlText w:val="•"/>
      <w:lvlJc w:val="left"/>
      <w:pPr>
        <w:ind w:left="4076" w:hanging="360"/>
      </w:pPr>
      <w:rPr>
        <w:rFonts w:hint="default"/>
        <w:lang w:val="en-us" w:eastAsia="en-us" w:bidi="en-us"/>
      </w:rPr>
    </w:lvl>
    <w:lvl w:ilvl="5">
      <w:start w:val="0"/>
      <w:numFmt w:val="bullet"/>
      <w:lvlText w:val="•"/>
      <w:lvlJc w:val="left"/>
      <w:pPr>
        <w:ind w:left="4880" w:hanging="360"/>
      </w:pPr>
      <w:rPr>
        <w:rFonts w:hint="default"/>
        <w:lang w:val="en-us" w:eastAsia="en-us" w:bidi="en-us"/>
      </w:rPr>
    </w:lvl>
    <w:lvl w:ilvl="6">
      <w:start w:val="0"/>
      <w:numFmt w:val="bullet"/>
      <w:lvlText w:val="•"/>
      <w:lvlJc w:val="left"/>
      <w:pPr>
        <w:ind w:left="5684" w:hanging="360"/>
      </w:pPr>
      <w:rPr>
        <w:rFonts w:hint="default"/>
        <w:lang w:val="en-us" w:eastAsia="en-us" w:bidi="en-us"/>
      </w:rPr>
    </w:lvl>
    <w:lvl w:ilvl="7">
      <w:start w:val="0"/>
      <w:numFmt w:val="bullet"/>
      <w:lvlText w:val="•"/>
      <w:lvlJc w:val="left"/>
      <w:pPr>
        <w:ind w:left="6488" w:hanging="360"/>
      </w:pPr>
      <w:rPr>
        <w:rFonts w:hint="default"/>
        <w:lang w:val="en-us" w:eastAsia="en-us" w:bidi="en-us"/>
      </w:rPr>
    </w:lvl>
    <w:lvl w:ilvl="8">
      <w:start w:val="0"/>
      <w:numFmt w:val="bullet"/>
      <w:lvlText w:val="•"/>
      <w:lvlJc w:val="left"/>
      <w:pPr>
        <w:ind w:left="7292" w:hanging="360"/>
      </w:pPr>
      <w:rPr>
        <w:rFonts w:hint="default"/>
        <w:lang w:val="en-us" w:eastAsia="en-us" w:bidi="en-us"/>
      </w:rPr>
    </w:lvl>
  </w:abstractNum>
  <w:abstractNum w:abstractNumId="0">
    <w:multiLevelType w:val="hybridMultilevel"/>
    <w:lvl w:ilvl="0">
      <w:start w:val="21"/>
      <w:numFmt w:val="upperLetter"/>
      <w:lvlText w:val="%1"/>
      <w:lvlJc w:val="left"/>
      <w:pPr>
        <w:ind w:left="627" w:hanging="488"/>
        <w:jc w:val="left"/>
      </w:pPr>
      <w:rPr>
        <w:rFonts w:hint="default"/>
        <w:lang w:val="en-us" w:eastAsia="en-us" w:bidi="en-us"/>
      </w:rPr>
    </w:lvl>
    <w:lvl w:ilvl="1">
      <w:start w:val="0"/>
      <w:numFmt w:val="bullet"/>
      <w:lvlText w:val=""/>
      <w:lvlJc w:val="left"/>
      <w:pPr>
        <w:ind w:left="1580" w:hanging="360"/>
      </w:pPr>
      <w:rPr>
        <w:rFonts w:hint="default" w:ascii="Symbol" w:hAnsi="Symbol" w:eastAsia="Symbol" w:cs="Symbol"/>
        <w:w w:val="100"/>
        <w:sz w:val="24"/>
        <w:szCs w:val="24"/>
        <w:lang w:val="en-us" w:eastAsia="en-us" w:bidi="en-us"/>
      </w:rPr>
    </w:lvl>
    <w:lvl w:ilvl="2">
      <w:start w:val="0"/>
      <w:numFmt w:val="bullet"/>
      <w:lvlText w:val="•"/>
      <w:lvlJc w:val="left"/>
      <w:pPr>
        <w:ind w:left="2393" w:hanging="360"/>
      </w:pPr>
      <w:rPr>
        <w:rFonts w:hint="default"/>
        <w:lang w:val="en-us" w:eastAsia="en-us" w:bidi="en-us"/>
      </w:rPr>
    </w:lvl>
    <w:lvl w:ilvl="3">
      <w:start w:val="0"/>
      <w:numFmt w:val="bullet"/>
      <w:lvlText w:val="•"/>
      <w:lvlJc w:val="left"/>
      <w:pPr>
        <w:ind w:left="3206" w:hanging="360"/>
      </w:pPr>
      <w:rPr>
        <w:rFonts w:hint="default"/>
        <w:lang w:val="en-us" w:eastAsia="en-us" w:bidi="en-us"/>
      </w:rPr>
    </w:lvl>
    <w:lvl w:ilvl="4">
      <w:start w:val="0"/>
      <w:numFmt w:val="bullet"/>
      <w:lvlText w:val="•"/>
      <w:lvlJc w:val="left"/>
      <w:pPr>
        <w:ind w:left="4020" w:hanging="360"/>
      </w:pPr>
      <w:rPr>
        <w:rFonts w:hint="default"/>
        <w:lang w:val="en-us" w:eastAsia="en-us" w:bidi="en-us"/>
      </w:rPr>
    </w:lvl>
    <w:lvl w:ilvl="5">
      <w:start w:val="0"/>
      <w:numFmt w:val="bullet"/>
      <w:lvlText w:val="•"/>
      <w:lvlJc w:val="left"/>
      <w:pPr>
        <w:ind w:left="4833" w:hanging="360"/>
      </w:pPr>
      <w:rPr>
        <w:rFonts w:hint="default"/>
        <w:lang w:val="en-us" w:eastAsia="en-us" w:bidi="en-us"/>
      </w:rPr>
    </w:lvl>
    <w:lvl w:ilvl="6">
      <w:start w:val="0"/>
      <w:numFmt w:val="bullet"/>
      <w:lvlText w:val="•"/>
      <w:lvlJc w:val="left"/>
      <w:pPr>
        <w:ind w:left="5646" w:hanging="360"/>
      </w:pPr>
      <w:rPr>
        <w:rFonts w:hint="default"/>
        <w:lang w:val="en-us" w:eastAsia="en-us" w:bidi="en-us"/>
      </w:rPr>
    </w:lvl>
    <w:lvl w:ilvl="7">
      <w:start w:val="0"/>
      <w:numFmt w:val="bullet"/>
      <w:lvlText w:val="•"/>
      <w:lvlJc w:val="left"/>
      <w:pPr>
        <w:ind w:left="6460" w:hanging="360"/>
      </w:pPr>
      <w:rPr>
        <w:rFonts w:hint="default"/>
        <w:lang w:val="en-us" w:eastAsia="en-us" w:bidi="en-us"/>
      </w:rPr>
    </w:lvl>
    <w:lvl w:ilvl="8">
      <w:start w:val="0"/>
      <w:numFmt w:val="bullet"/>
      <w:lvlText w:val="•"/>
      <w:lvlJc w:val="left"/>
      <w:pPr>
        <w:ind w:left="7273"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ind w:left="1219"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346D7-F7CC-44AE-B5BE-627F8D558825}"/>
</file>

<file path=customXml/itemProps2.xml><?xml version="1.0" encoding="utf-8"?>
<ds:datastoreItem xmlns:ds="http://schemas.openxmlformats.org/officeDocument/2006/customXml" ds:itemID="{708DED28-63B7-4675-86F7-31233909D9D2}"/>
</file>

<file path=customXml/itemProps3.xml><?xml version="1.0" encoding="utf-8"?>
<ds:datastoreItem xmlns:ds="http://schemas.openxmlformats.org/officeDocument/2006/customXml" ds:itemID="{DBE25C2F-12A4-403A-9E4E-CC182AFD196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dcterms:created xsi:type="dcterms:W3CDTF">2021-03-22T18:48:06Z</dcterms:created>
  <dcterms:modified xsi:type="dcterms:W3CDTF">2021-03-22T18:48:06Z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2007-09-07T00:00:00Z</vt:filetime>
  </property>
  <property fmtid="{D5CDD505-2E9C-101B-9397-08002B2CF9AE}" pid="3" name="Creator">
    <vt:lpwstr>Acrobat PDFMaker 6.0 for Word</vt:lpwstr>
  </property>
  <property fmtid="{D5CDD505-2E9C-101B-9397-08002B2CF9AE}" pid="4" name="LastSaved">
    <vt:filetime>2021-03-22T00:00:00Z</vt:filetime>
  </property>
  <property fmtid="{D5CDD505-2E9C-101B-9397-08002B2CF9AE}" pid="5" name="ContentTypeId">
    <vt:lpwstr>0x01010012F2F2303879D54195CB468F27BA4319</vt:lpwstr>
  </property>
</Properties>
</file>